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94" w:rsidRDefault="00FC3322" w:rsidP="00FC33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состояния сферы дополнительного образования детей в Ярославской области</w:t>
      </w:r>
      <w:r w:rsidR="008F70D7" w:rsidRPr="00FC3322">
        <w:rPr>
          <w:rFonts w:ascii="Times New Roman" w:hAnsi="Times New Roman" w:cs="Times New Roman"/>
          <w:b/>
          <w:sz w:val="28"/>
          <w:szCs w:val="28"/>
        </w:rPr>
        <w:t xml:space="preserve"> с учетом организаций разных типов, ведомственной принадлежности и форм собственности</w:t>
      </w:r>
    </w:p>
    <w:p w:rsidR="00FC3322" w:rsidRDefault="00FC3322" w:rsidP="00FC33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C3322" w:rsidRDefault="00FC3322" w:rsidP="00FC33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22" w:rsidRDefault="00FC3322" w:rsidP="00F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Аналитическая справка подготовлена на основании </w:t>
      </w:r>
      <w:r w:rsidR="00FA2777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Pr="00FC3322">
        <w:rPr>
          <w:rFonts w:ascii="Times New Roman" w:hAnsi="Times New Roman" w:cs="Times New Roman"/>
          <w:sz w:val="28"/>
          <w:szCs w:val="28"/>
        </w:rPr>
        <w:t>данных, предоставленных департаментом образования Ярославской области</w:t>
      </w:r>
      <w:r w:rsidR="00FA2777">
        <w:rPr>
          <w:rFonts w:ascii="Times New Roman" w:hAnsi="Times New Roman" w:cs="Times New Roman"/>
          <w:sz w:val="28"/>
          <w:szCs w:val="28"/>
        </w:rPr>
        <w:t>, из формы № 1-ДО, мониторинга независимой оценки качества дополнительного образования, сведений лицензирующего органа (на образовательную деятельность), реестров организаций, прошедших инвентаризацию.</w:t>
      </w:r>
    </w:p>
    <w:p w:rsidR="00FA2777" w:rsidRPr="00FC3322" w:rsidRDefault="00FA2777" w:rsidP="00F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08B" w:rsidRPr="00FC3322" w:rsidRDefault="0042281D" w:rsidP="00FC33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C332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A95D5D" w:rsidRPr="00FC3322">
        <w:rPr>
          <w:rFonts w:ascii="Times New Roman" w:hAnsi="Times New Roman" w:cs="Times New Roman"/>
          <w:i/>
          <w:sz w:val="28"/>
          <w:szCs w:val="28"/>
        </w:rPr>
        <w:t xml:space="preserve">Сеть организаций, реализующих дополнительные образовательные программы, разных типов, ведомств, </w:t>
      </w:r>
      <w:r w:rsidR="0093508B" w:rsidRPr="00FC3322">
        <w:rPr>
          <w:rFonts w:ascii="Times New Roman" w:hAnsi="Times New Roman" w:cs="Times New Roman"/>
          <w:i/>
          <w:sz w:val="28"/>
          <w:szCs w:val="28"/>
        </w:rPr>
        <w:t>форм собственности.</w:t>
      </w:r>
    </w:p>
    <w:p w:rsidR="00E22589" w:rsidRPr="00FC3322" w:rsidRDefault="00BF6BDF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По состоянию на 01.01.2018 в Ярославской области</w:t>
      </w:r>
      <w:r w:rsidR="00940A24" w:rsidRPr="00FC3322">
        <w:rPr>
          <w:rFonts w:ascii="Times New Roman" w:hAnsi="Times New Roman" w:cs="Times New Roman"/>
          <w:sz w:val="28"/>
          <w:szCs w:val="28"/>
        </w:rPr>
        <w:t xml:space="preserve"> сеть организаций</w:t>
      </w:r>
      <w:r w:rsidRPr="00FC3322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образовательные программы, составляла </w:t>
      </w:r>
      <w:r w:rsidR="00940A24" w:rsidRPr="00FC3322">
        <w:rPr>
          <w:rFonts w:ascii="Times New Roman" w:hAnsi="Times New Roman" w:cs="Times New Roman"/>
          <w:sz w:val="28"/>
          <w:szCs w:val="28"/>
        </w:rPr>
        <w:t>66</w:t>
      </w:r>
      <w:r w:rsidR="00746138" w:rsidRPr="00FC3322">
        <w:rPr>
          <w:rFonts w:ascii="Times New Roman" w:hAnsi="Times New Roman" w:cs="Times New Roman"/>
          <w:sz w:val="28"/>
          <w:szCs w:val="28"/>
        </w:rPr>
        <w:t>1 организацию</w:t>
      </w:r>
      <w:r w:rsidR="00940A24" w:rsidRPr="00FC3322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E22589" w:rsidRPr="00FC3322">
        <w:rPr>
          <w:rFonts w:ascii="Times New Roman" w:hAnsi="Times New Roman" w:cs="Times New Roman"/>
          <w:sz w:val="28"/>
          <w:szCs w:val="28"/>
        </w:rPr>
        <w:t>по форме собственности выделяются государственные, муниципальные, негосударственные (из них частные) и некоммерческие (общественные) организации.</w:t>
      </w:r>
    </w:p>
    <w:p w:rsidR="007E0D3E" w:rsidRPr="00FC3322" w:rsidRDefault="00E22589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Г</w:t>
      </w:r>
      <w:r w:rsidR="00BF6BDF" w:rsidRPr="00FC3322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7E0D3E" w:rsidRPr="00FC3322">
        <w:rPr>
          <w:rFonts w:ascii="Times New Roman" w:hAnsi="Times New Roman" w:cs="Times New Roman"/>
          <w:sz w:val="28"/>
          <w:szCs w:val="28"/>
        </w:rPr>
        <w:t>– 82.</w:t>
      </w:r>
    </w:p>
    <w:p w:rsidR="00BE6205" w:rsidRPr="00FC3322" w:rsidRDefault="007E0D3E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М</w:t>
      </w:r>
      <w:r w:rsidR="00BF6BDF" w:rsidRPr="00FC3322">
        <w:rPr>
          <w:rFonts w:ascii="Times New Roman" w:hAnsi="Times New Roman" w:cs="Times New Roman"/>
          <w:sz w:val="28"/>
          <w:szCs w:val="28"/>
        </w:rPr>
        <w:t xml:space="preserve">униципальных учреждений </w:t>
      </w:r>
      <w:r w:rsidR="00D41EA0" w:rsidRPr="00FC3322">
        <w:rPr>
          <w:rFonts w:ascii="Times New Roman" w:hAnsi="Times New Roman" w:cs="Times New Roman"/>
          <w:sz w:val="28"/>
          <w:szCs w:val="28"/>
        </w:rPr>
        <w:t>–</w:t>
      </w:r>
      <w:r w:rsidR="00192007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Pr="00FC3322">
        <w:rPr>
          <w:rFonts w:ascii="Times New Roman" w:hAnsi="Times New Roman" w:cs="Times New Roman"/>
          <w:sz w:val="28"/>
          <w:szCs w:val="28"/>
        </w:rPr>
        <w:t>462</w:t>
      </w:r>
      <w:r w:rsidR="00FA4C9A" w:rsidRPr="00FC3322">
        <w:rPr>
          <w:rFonts w:ascii="Times New Roman" w:hAnsi="Times New Roman" w:cs="Times New Roman"/>
          <w:sz w:val="28"/>
          <w:szCs w:val="28"/>
        </w:rPr>
        <w:t>.</w:t>
      </w:r>
    </w:p>
    <w:p w:rsidR="00395C3A" w:rsidRPr="00FC3322" w:rsidRDefault="00395C3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Негосударственных – 98.</w:t>
      </w:r>
    </w:p>
    <w:p w:rsidR="00395C3A" w:rsidRPr="00FC3322" w:rsidRDefault="00395C3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Некоммерческих, общественных – 18.</w:t>
      </w:r>
    </w:p>
    <w:p w:rsidR="00395C3A" w:rsidRPr="00FC3322" w:rsidRDefault="00551A7D" w:rsidP="00FC33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0B4825" wp14:editId="48DEFF4E">
            <wp:extent cx="45720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5C3A" w:rsidRPr="00FC3322" w:rsidRDefault="00395C3A" w:rsidP="00F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В числе государственных и муниципальных организаций</w:t>
      </w:r>
      <w:r w:rsidR="00746138" w:rsidRPr="00FC3322">
        <w:rPr>
          <w:rFonts w:ascii="Times New Roman" w:hAnsi="Times New Roman" w:cs="Times New Roman"/>
          <w:sz w:val="28"/>
          <w:szCs w:val="28"/>
        </w:rPr>
        <w:t>:</w:t>
      </w:r>
      <w:r w:rsidRPr="00FC3322">
        <w:rPr>
          <w:rFonts w:ascii="Times New Roman" w:hAnsi="Times New Roman" w:cs="Times New Roman"/>
          <w:sz w:val="28"/>
          <w:szCs w:val="28"/>
        </w:rPr>
        <w:t xml:space="preserve"> федеральных - </w:t>
      </w:r>
      <w:r w:rsidR="007E0D3E" w:rsidRPr="00FC3322">
        <w:rPr>
          <w:rFonts w:ascii="Times New Roman" w:hAnsi="Times New Roman" w:cs="Times New Roman"/>
          <w:sz w:val="28"/>
          <w:szCs w:val="28"/>
        </w:rPr>
        <w:t>5</w:t>
      </w:r>
      <w:r w:rsidRPr="00FC3322">
        <w:rPr>
          <w:rFonts w:ascii="Times New Roman" w:hAnsi="Times New Roman" w:cs="Times New Roman"/>
          <w:sz w:val="28"/>
          <w:szCs w:val="28"/>
        </w:rPr>
        <w:t xml:space="preserve">, региональных - </w:t>
      </w:r>
      <w:r w:rsidR="007E0D3E" w:rsidRPr="00FC3322">
        <w:rPr>
          <w:rFonts w:ascii="Times New Roman" w:hAnsi="Times New Roman" w:cs="Times New Roman"/>
          <w:sz w:val="28"/>
          <w:szCs w:val="28"/>
        </w:rPr>
        <w:t>77</w:t>
      </w:r>
      <w:r w:rsidRPr="00FC3322">
        <w:rPr>
          <w:rFonts w:ascii="Times New Roman" w:hAnsi="Times New Roman" w:cs="Times New Roman"/>
          <w:sz w:val="28"/>
          <w:szCs w:val="28"/>
        </w:rPr>
        <w:t xml:space="preserve">, муниципальных - </w:t>
      </w:r>
      <w:r w:rsidR="007E0D3E" w:rsidRPr="00FC3322">
        <w:rPr>
          <w:rFonts w:ascii="Times New Roman" w:hAnsi="Times New Roman" w:cs="Times New Roman"/>
          <w:sz w:val="28"/>
          <w:szCs w:val="28"/>
        </w:rPr>
        <w:t>462</w:t>
      </w:r>
      <w:r w:rsidRPr="00FC3322">
        <w:rPr>
          <w:rFonts w:ascii="Times New Roman" w:hAnsi="Times New Roman" w:cs="Times New Roman"/>
          <w:sz w:val="28"/>
          <w:szCs w:val="28"/>
        </w:rPr>
        <w:t>.</w:t>
      </w:r>
    </w:p>
    <w:p w:rsidR="00395C3A" w:rsidRPr="00FC3322" w:rsidRDefault="00395C3A" w:rsidP="00F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По типам организаций можно выделить образовательные (</w:t>
      </w:r>
      <w:r w:rsidR="00134BDB" w:rsidRPr="00FC3322">
        <w:rPr>
          <w:rFonts w:ascii="Times New Roman" w:hAnsi="Times New Roman" w:cs="Times New Roman"/>
          <w:sz w:val="28"/>
          <w:szCs w:val="28"/>
        </w:rPr>
        <w:t>594</w:t>
      </w:r>
      <w:r w:rsidRPr="00FC3322">
        <w:rPr>
          <w:rFonts w:ascii="Times New Roman" w:hAnsi="Times New Roman" w:cs="Times New Roman"/>
          <w:sz w:val="28"/>
          <w:szCs w:val="28"/>
        </w:rPr>
        <w:t>) и необразовательные организации</w:t>
      </w:r>
      <w:r w:rsidR="00F674C0" w:rsidRPr="00FC3322">
        <w:rPr>
          <w:rFonts w:ascii="Times New Roman" w:hAnsi="Times New Roman" w:cs="Times New Roman"/>
          <w:sz w:val="28"/>
          <w:szCs w:val="28"/>
        </w:rPr>
        <w:t xml:space="preserve"> (</w:t>
      </w:r>
      <w:r w:rsidR="00134BDB" w:rsidRPr="00FC3322">
        <w:rPr>
          <w:rFonts w:ascii="Times New Roman" w:hAnsi="Times New Roman" w:cs="Times New Roman"/>
          <w:sz w:val="28"/>
          <w:szCs w:val="28"/>
        </w:rPr>
        <w:t>66</w:t>
      </w:r>
      <w:r w:rsidR="00F674C0" w:rsidRPr="00FC3322">
        <w:rPr>
          <w:rFonts w:ascii="Times New Roman" w:hAnsi="Times New Roman" w:cs="Times New Roman"/>
          <w:sz w:val="28"/>
          <w:szCs w:val="28"/>
        </w:rPr>
        <w:t>)</w:t>
      </w:r>
      <w:r w:rsidR="00134BDB" w:rsidRPr="00FC3322">
        <w:rPr>
          <w:rFonts w:ascii="Times New Roman" w:hAnsi="Times New Roman" w:cs="Times New Roman"/>
          <w:sz w:val="28"/>
          <w:szCs w:val="28"/>
        </w:rPr>
        <w:t>.</w:t>
      </w:r>
      <w:r w:rsidR="00F674C0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="00134BDB" w:rsidRPr="00FC3322">
        <w:rPr>
          <w:rFonts w:ascii="Times New Roman" w:hAnsi="Times New Roman" w:cs="Times New Roman"/>
          <w:sz w:val="28"/>
          <w:szCs w:val="28"/>
        </w:rPr>
        <w:t>С</w:t>
      </w:r>
      <w:r w:rsidR="00F674C0" w:rsidRPr="00FC3322">
        <w:rPr>
          <w:rFonts w:ascii="Times New Roman" w:hAnsi="Times New Roman" w:cs="Times New Roman"/>
          <w:sz w:val="28"/>
          <w:szCs w:val="28"/>
        </w:rPr>
        <w:t xml:space="preserve">реди образовательных </w:t>
      </w:r>
      <w:r w:rsidR="00134BDB" w:rsidRPr="00FC3322">
        <w:rPr>
          <w:rFonts w:ascii="Times New Roman" w:hAnsi="Times New Roman" w:cs="Times New Roman"/>
          <w:sz w:val="28"/>
          <w:szCs w:val="28"/>
        </w:rPr>
        <w:t xml:space="preserve">типы организаций различаются </w:t>
      </w:r>
      <w:r w:rsidR="00F674C0" w:rsidRPr="00FC3322">
        <w:rPr>
          <w:rFonts w:ascii="Times New Roman" w:hAnsi="Times New Roman" w:cs="Times New Roman"/>
          <w:sz w:val="28"/>
          <w:szCs w:val="28"/>
        </w:rPr>
        <w:t>по уровням</w:t>
      </w:r>
      <w:r w:rsidR="00746138" w:rsidRPr="00FC3322">
        <w:rPr>
          <w:rFonts w:ascii="Times New Roman" w:hAnsi="Times New Roman" w:cs="Times New Roman"/>
          <w:sz w:val="28"/>
          <w:szCs w:val="28"/>
        </w:rPr>
        <w:t xml:space="preserve"> (дошкольное, общее: начальное, основное и среднее, профессиональное, высшее образование)</w:t>
      </w:r>
      <w:r w:rsidR="00F674C0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="00746138" w:rsidRPr="00FC3322">
        <w:rPr>
          <w:rFonts w:ascii="Times New Roman" w:hAnsi="Times New Roman" w:cs="Times New Roman"/>
          <w:sz w:val="28"/>
          <w:szCs w:val="28"/>
        </w:rPr>
        <w:t xml:space="preserve">или сфере </w:t>
      </w:r>
      <w:r w:rsidR="00F674C0" w:rsidRPr="00FC3322">
        <w:rPr>
          <w:rFonts w:ascii="Times New Roman" w:hAnsi="Times New Roman" w:cs="Times New Roman"/>
          <w:sz w:val="28"/>
          <w:szCs w:val="28"/>
        </w:rPr>
        <w:t>образования (дополнительное образование, сфера культуры, спорта, молодежной политики и т.п.)</w:t>
      </w:r>
      <w:r w:rsidRPr="00FC3322">
        <w:rPr>
          <w:rFonts w:ascii="Times New Roman" w:hAnsi="Times New Roman" w:cs="Times New Roman"/>
          <w:sz w:val="28"/>
          <w:szCs w:val="28"/>
        </w:rPr>
        <w:t>.</w:t>
      </w:r>
      <w:r w:rsidR="00134BDB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="002C1AFE">
        <w:rPr>
          <w:rFonts w:ascii="Times New Roman" w:hAnsi="Times New Roman" w:cs="Times New Roman"/>
          <w:sz w:val="28"/>
          <w:szCs w:val="28"/>
        </w:rPr>
        <w:t>Н</w:t>
      </w:r>
      <w:r w:rsidR="00134BDB" w:rsidRPr="00FC3322">
        <w:rPr>
          <w:rFonts w:ascii="Times New Roman" w:hAnsi="Times New Roman" w:cs="Times New Roman"/>
          <w:sz w:val="28"/>
          <w:szCs w:val="28"/>
        </w:rPr>
        <w:t>еобразовательны</w:t>
      </w:r>
      <w:r w:rsidR="002C1AFE">
        <w:rPr>
          <w:rFonts w:ascii="Times New Roman" w:hAnsi="Times New Roman" w:cs="Times New Roman"/>
          <w:sz w:val="28"/>
          <w:szCs w:val="28"/>
        </w:rPr>
        <w:t>е</w:t>
      </w:r>
      <w:r w:rsidR="00134BDB" w:rsidRPr="00FC3322">
        <w:rPr>
          <w:rFonts w:ascii="Times New Roman" w:hAnsi="Times New Roman" w:cs="Times New Roman"/>
          <w:sz w:val="28"/>
          <w:szCs w:val="28"/>
        </w:rPr>
        <w:t xml:space="preserve"> организации группируются по сфере </w:t>
      </w:r>
      <w:r w:rsidR="00FA2777">
        <w:rPr>
          <w:rFonts w:ascii="Times New Roman" w:hAnsi="Times New Roman" w:cs="Times New Roman"/>
          <w:sz w:val="28"/>
          <w:szCs w:val="28"/>
        </w:rPr>
        <w:t>деятельности</w:t>
      </w:r>
      <w:r w:rsidR="00134BDB" w:rsidRPr="00FC3322">
        <w:rPr>
          <w:rFonts w:ascii="Times New Roman" w:hAnsi="Times New Roman" w:cs="Times New Roman"/>
          <w:sz w:val="28"/>
          <w:szCs w:val="28"/>
        </w:rPr>
        <w:t>.</w:t>
      </w:r>
    </w:p>
    <w:p w:rsidR="00FD46CA" w:rsidRPr="00FC3322" w:rsidRDefault="00FD46CA" w:rsidP="00FC33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A43EF" wp14:editId="7BBDE69E">
            <wp:extent cx="5543550" cy="2095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C3A" w:rsidRPr="00FC3322" w:rsidRDefault="00134BDB" w:rsidP="0045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Из образовательных </w:t>
      </w:r>
      <w:r w:rsidR="00FD46CA" w:rsidRPr="00FC332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FC3322">
        <w:rPr>
          <w:rFonts w:ascii="Times New Roman" w:hAnsi="Times New Roman" w:cs="Times New Roman"/>
          <w:sz w:val="28"/>
          <w:szCs w:val="28"/>
        </w:rPr>
        <w:t>организаций по уровням и сферам образования различаются:</w:t>
      </w:r>
    </w:p>
    <w:p w:rsidR="004130BD" w:rsidRPr="00FC3322" w:rsidRDefault="00134BDB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организации</w:t>
      </w:r>
      <w:r w:rsidR="00FD46CA" w:rsidRPr="00FC33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</w:t>
      </w:r>
      <w:r w:rsidR="00FA2777">
        <w:rPr>
          <w:rFonts w:ascii="Times New Roman" w:hAnsi="Times New Roman" w:cs="Times New Roman"/>
          <w:sz w:val="28"/>
          <w:szCs w:val="28"/>
        </w:rPr>
        <w:t>125</w:t>
      </w:r>
      <w:r w:rsidR="00395C3A" w:rsidRPr="00FC33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0BD" w:rsidRPr="00FC3322" w:rsidRDefault="00395C3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4130BD" w:rsidRPr="00FC3322">
        <w:rPr>
          <w:rFonts w:ascii="Times New Roman" w:hAnsi="Times New Roman" w:cs="Times New Roman"/>
          <w:sz w:val="28"/>
          <w:szCs w:val="28"/>
        </w:rPr>
        <w:t>е</w:t>
      </w:r>
      <w:r w:rsidR="00FA2777">
        <w:rPr>
          <w:rFonts w:ascii="Times New Roman" w:hAnsi="Times New Roman" w:cs="Times New Roman"/>
          <w:sz w:val="28"/>
          <w:szCs w:val="28"/>
        </w:rPr>
        <w:t xml:space="preserve"> – 187, в том числе детские дома</w:t>
      </w:r>
      <w:r w:rsidRPr="00FC33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0BD" w:rsidRPr="00FC3322" w:rsidRDefault="00395C3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- </w:t>
      </w:r>
      <w:r w:rsidR="00BE7372" w:rsidRPr="00FC3322">
        <w:rPr>
          <w:rFonts w:ascii="Times New Roman" w:hAnsi="Times New Roman" w:cs="Times New Roman"/>
          <w:sz w:val="28"/>
          <w:szCs w:val="28"/>
        </w:rPr>
        <w:t>157</w:t>
      </w:r>
      <w:r w:rsidRPr="00FC33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C3A" w:rsidRPr="00FC3322" w:rsidRDefault="00395C3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- </w:t>
      </w:r>
      <w:r w:rsidR="00F940D5" w:rsidRPr="00FC3322">
        <w:rPr>
          <w:rFonts w:ascii="Times New Roman" w:hAnsi="Times New Roman" w:cs="Times New Roman"/>
          <w:sz w:val="28"/>
          <w:szCs w:val="28"/>
        </w:rPr>
        <w:t>30</w:t>
      </w:r>
      <w:r w:rsidRPr="00FC3322">
        <w:rPr>
          <w:rFonts w:ascii="Times New Roman" w:hAnsi="Times New Roman" w:cs="Times New Roman"/>
          <w:sz w:val="28"/>
          <w:szCs w:val="28"/>
        </w:rPr>
        <w:t>.</w:t>
      </w:r>
    </w:p>
    <w:p w:rsidR="00AD6519" w:rsidRDefault="00AD6519" w:rsidP="00F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Организации высшего образования Ярославской области (20 организаций) не представили данные о реализуемых дополнительных общеобразовательных программах и количестве обучающихся.</w:t>
      </w:r>
      <w:r w:rsidR="009E00F0" w:rsidRPr="00FC3322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486E65" w:rsidRPr="00FC3322">
        <w:rPr>
          <w:rFonts w:ascii="Times New Roman" w:hAnsi="Times New Roman" w:cs="Times New Roman"/>
          <w:sz w:val="28"/>
          <w:szCs w:val="28"/>
        </w:rPr>
        <w:t>лицензирующего органа 15 вузов (или филиалов</w:t>
      </w:r>
      <w:r w:rsidR="002C1AFE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486E65" w:rsidRPr="00FC3322">
        <w:rPr>
          <w:rFonts w:ascii="Times New Roman" w:hAnsi="Times New Roman" w:cs="Times New Roman"/>
          <w:sz w:val="28"/>
          <w:szCs w:val="28"/>
        </w:rPr>
        <w:t xml:space="preserve">) имеют образовательные лицензии. На </w:t>
      </w:r>
      <w:r w:rsidR="009E00F0" w:rsidRPr="00FC3322">
        <w:rPr>
          <w:rFonts w:ascii="Times New Roman" w:hAnsi="Times New Roman" w:cs="Times New Roman"/>
          <w:sz w:val="28"/>
          <w:szCs w:val="28"/>
        </w:rPr>
        <w:t>официальных сайт</w:t>
      </w:r>
      <w:r w:rsidR="00486E65" w:rsidRPr="00FC3322">
        <w:rPr>
          <w:rFonts w:ascii="Times New Roman" w:hAnsi="Times New Roman" w:cs="Times New Roman"/>
          <w:sz w:val="28"/>
          <w:szCs w:val="28"/>
        </w:rPr>
        <w:t>ах</w:t>
      </w:r>
      <w:r w:rsidR="009E00F0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="00FA2777">
        <w:rPr>
          <w:rFonts w:ascii="Times New Roman" w:hAnsi="Times New Roman" w:cs="Times New Roman"/>
          <w:sz w:val="28"/>
          <w:szCs w:val="28"/>
        </w:rPr>
        <w:t>в ходе интер</w:t>
      </w:r>
      <w:r w:rsidR="00486E65" w:rsidRPr="00FC3322">
        <w:rPr>
          <w:rFonts w:ascii="Times New Roman" w:hAnsi="Times New Roman" w:cs="Times New Roman"/>
          <w:sz w:val="28"/>
          <w:szCs w:val="28"/>
        </w:rPr>
        <w:t>н</w:t>
      </w:r>
      <w:r w:rsidR="00FA2777">
        <w:rPr>
          <w:rFonts w:ascii="Times New Roman" w:hAnsi="Times New Roman" w:cs="Times New Roman"/>
          <w:sz w:val="28"/>
          <w:szCs w:val="28"/>
        </w:rPr>
        <w:t>е</w:t>
      </w:r>
      <w:r w:rsidR="00486E65" w:rsidRPr="00FC3322">
        <w:rPr>
          <w:rFonts w:ascii="Times New Roman" w:hAnsi="Times New Roman" w:cs="Times New Roman"/>
          <w:sz w:val="28"/>
          <w:szCs w:val="28"/>
        </w:rPr>
        <w:t>т-поиска</w:t>
      </w:r>
      <w:r w:rsidR="009E00F0" w:rsidRPr="00FC3322">
        <w:rPr>
          <w:rFonts w:ascii="Times New Roman" w:hAnsi="Times New Roman" w:cs="Times New Roman"/>
          <w:sz w:val="28"/>
          <w:szCs w:val="28"/>
        </w:rPr>
        <w:t xml:space="preserve"> имеют право обучать по дополнительным общеобразовательным программам детей и </w:t>
      </w:r>
      <w:r w:rsidR="009E00F0" w:rsidRPr="00A55D26">
        <w:rPr>
          <w:rFonts w:ascii="Times New Roman" w:hAnsi="Times New Roman" w:cs="Times New Roman"/>
          <w:sz w:val="28"/>
          <w:szCs w:val="28"/>
        </w:rPr>
        <w:t>взрослых следующие организации: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государственный технический университет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государственный театральный институт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государственный университет им. П.Г.Демидова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К.Д.Ушинского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Рыбинский государственный авиационный технический университет имени П.А. Соловьева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Международная академия бизнеса и новых технологий (МУБиНТ)</w:t>
      </w:r>
    </w:p>
    <w:p w:rsidR="00914BFB" w:rsidRPr="00A55D26" w:rsidRDefault="00914BFB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</w:p>
    <w:p w:rsidR="009E00F0" w:rsidRPr="00A55D26" w:rsidRDefault="00F369FA" w:rsidP="00A55D26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государственный медицинский университет</w:t>
      </w:r>
    </w:p>
    <w:p w:rsidR="00F369FA" w:rsidRPr="00A55D26" w:rsidRDefault="00F369FA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ФГКВОУ ВО  «Ярославское высшее военное училище противовоздушной обороны» Министерства обороны Российской Федерации</w:t>
      </w:r>
    </w:p>
    <w:p w:rsidR="000F7F11" w:rsidRPr="00A55D26" w:rsidRDefault="000F7F11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</w:t>
      </w:r>
      <w:r w:rsidR="00827158" w:rsidRPr="00A55D26">
        <w:rPr>
          <w:rFonts w:ascii="Times New Roman" w:hAnsi="Times New Roman" w:cs="Times New Roman"/>
          <w:sz w:val="28"/>
          <w:szCs w:val="28"/>
        </w:rPr>
        <w:t>рославский филиал ФГБОУ ВО «Рос</w:t>
      </w:r>
      <w:r w:rsidRPr="00A55D26">
        <w:rPr>
          <w:rFonts w:ascii="Times New Roman" w:hAnsi="Times New Roman" w:cs="Times New Roman"/>
          <w:sz w:val="28"/>
          <w:szCs w:val="28"/>
        </w:rPr>
        <w:t>сийский экономический университет имени Г.В. Плеханова»</w:t>
      </w:r>
    </w:p>
    <w:p w:rsidR="000F7F11" w:rsidRPr="00A55D26" w:rsidRDefault="000F7F11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филиал ГАОУ ВО ЛО  «Ле</w:t>
      </w:r>
      <w:r w:rsidR="00827158" w:rsidRPr="00A55D26">
        <w:rPr>
          <w:rFonts w:ascii="Times New Roman" w:hAnsi="Times New Roman" w:cs="Times New Roman"/>
          <w:sz w:val="28"/>
          <w:szCs w:val="28"/>
        </w:rPr>
        <w:t>нинградский государственный уни</w:t>
      </w:r>
      <w:r w:rsidRPr="00A55D26">
        <w:rPr>
          <w:rFonts w:ascii="Times New Roman" w:hAnsi="Times New Roman" w:cs="Times New Roman"/>
          <w:sz w:val="28"/>
          <w:szCs w:val="28"/>
        </w:rPr>
        <w:t>верситет имени А.С. Пушкина»</w:t>
      </w:r>
    </w:p>
    <w:p w:rsidR="00827158" w:rsidRPr="00A55D26" w:rsidRDefault="00827158" w:rsidP="00A55D2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6">
        <w:rPr>
          <w:rFonts w:ascii="Times New Roman" w:hAnsi="Times New Roman" w:cs="Times New Roman"/>
          <w:sz w:val="28"/>
          <w:szCs w:val="28"/>
        </w:rPr>
        <w:t>Ярославский филиал ОУП ВО  «Академия труда и социальных отношений»</w:t>
      </w:r>
    </w:p>
    <w:p w:rsidR="004130BD" w:rsidRPr="00FC3322" w:rsidRDefault="004130BD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государственные и муниципальные учреждения реализуют два типа программ: дополнительного профессионального образования (16 организаций) и общеобразовательные </w:t>
      </w:r>
      <w:r w:rsidRPr="00FC3322">
        <w:rPr>
          <w:rFonts w:ascii="Times New Roman" w:hAnsi="Times New Roman" w:cs="Times New Roman"/>
          <w:sz w:val="28"/>
          <w:szCs w:val="28"/>
        </w:rPr>
        <w:lastRenderedPageBreak/>
        <w:t>(538 организаций). Из 98 негосударственных организаций, среди которых 54 частных учреждений и организаций, реализуют программы дополнительного образования детей и взрослых 63. Из 18 некоммерческих, общественных организаций 6 реализуют программы для детей.</w:t>
      </w:r>
    </w:p>
    <w:p w:rsidR="00F2611B" w:rsidRPr="00FC3322" w:rsidRDefault="00746138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Среди государственных и муниципальных учреждений реализуют </w:t>
      </w:r>
      <w:r w:rsidR="00F2611B" w:rsidRPr="00FC332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детей:</w:t>
      </w:r>
    </w:p>
    <w:p w:rsidR="00FA4C9A" w:rsidRPr="00FC3322" w:rsidRDefault="00FA4C9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4</w:t>
      </w:r>
      <w:r w:rsidR="00746138" w:rsidRPr="00FC3322">
        <w:rPr>
          <w:rFonts w:ascii="Times New Roman" w:hAnsi="Times New Roman" w:cs="Times New Roman"/>
          <w:sz w:val="28"/>
          <w:szCs w:val="28"/>
        </w:rPr>
        <w:t>74</w:t>
      </w:r>
      <w:r w:rsidRPr="00FC3322">
        <w:rPr>
          <w:rFonts w:ascii="Times New Roman" w:hAnsi="Times New Roman" w:cs="Times New Roman"/>
          <w:sz w:val="28"/>
          <w:szCs w:val="28"/>
        </w:rPr>
        <w:t xml:space="preserve"> - в системе образования, </w:t>
      </w:r>
    </w:p>
    <w:p w:rsidR="00FA4C9A" w:rsidRPr="00E851F5" w:rsidRDefault="007D15A4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1F5">
        <w:rPr>
          <w:rFonts w:ascii="Times New Roman" w:hAnsi="Times New Roman" w:cs="Times New Roman"/>
          <w:sz w:val="28"/>
          <w:szCs w:val="28"/>
        </w:rPr>
        <w:t>39</w:t>
      </w:r>
      <w:r w:rsidR="00FA4C9A" w:rsidRPr="00E851F5">
        <w:rPr>
          <w:rFonts w:ascii="Times New Roman" w:hAnsi="Times New Roman" w:cs="Times New Roman"/>
          <w:sz w:val="28"/>
          <w:szCs w:val="28"/>
        </w:rPr>
        <w:t xml:space="preserve"> - в системе культуры,  </w:t>
      </w:r>
    </w:p>
    <w:p w:rsidR="00FA4C9A" w:rsidRPr="00455044" w:rsidRDefault="00E851F5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C9A" w:rsidRPr="00E851F5">
        <w:rPr>
          <w:rFonts w:ascii="Times New Roman" w:hAnsi="Times New Roman" w:cs="Times New Roman"/>
          <w:sz w:val="28"/>
          <w:szCs w:val="28"/>
        </w:rPr>
        <w:t xml:space="preserve"> - в сфере спорта,</w:t>
      </w:r>
      <w:r w:rsidR="00FA4C9A" w:rsidRPr="0045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9A" w:rsidRPr="00FC3322" w:rsidRDefault="007D15A4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044">
        <w:rPr>
          <w:rFonts w:ascii="Times New Roman" w:hAnsi="Times New Roman" w:cs="Times New Roman"/>
          <w:sz w:val="28"/>
          <w:szCs w:val="28"/>
        </w:rPr>
        <w:t>4</w:t>
      </w:r>
      <w:r w:rsidR="00FA4C9A" w:rsidRPr="00455044">
        <w:rPr>
          <w:rFonts w:ascii="Times New Roman" w:hAnsi="Times New Roman" w:cs="Times New Roman"/>
          <w:sz w:val="28"/>
          <w:szCs w:val="28"/>
        </w:rPr>
        <w:t xml:space="preserve"> – в системе здравоохранения,</w:t>
      </w:r>
      <w:r w:rsidR="00FA4C9A" w:rsidRPr="00FC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16" w:rsidRPr="00FC3322" w:rsidRDefault="008D551D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4</w:t>
      </w:r>
      <w:r w:rsidR="00FA4C9A" w:rsidRPr="00FC3322">
        <w:rPr>
          <w:rFonts w:ascii="Times New Roman" w:hAnsi="Times New Roman" w:cs="Times New Roman"/>
          <w:sz w:val="28"/>
          <w:szCs w:val="28"/>
        </w:rPr>
        <w:t xml:space="preserve"> – в системе гражданской обороны и пожарной безопасности</w:t>
      </w:r>
      <w:r w:rsidR="009F0816" w:rsidRPr="00FC3322">
        <w:rPr>
          <w:rFonts w:ascii="Times New Roman" w:hAnsi="Times New Roman" w:cs="Times New Roman"/>
          <w:sz w:val="28"/>
          <w:szCs w:val="28"/>
        </w:rPr>
        <w:t>,</w:t>
      </w:r>
    </w:p>
    <w:p w:rsidR="0063174F" w:rsidRPr="00FC3322" w:rsidRDefault="0063174F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3 – в сфере агропромышленного комплекса,</w:t>
      </w:r>
    </w:p>
    <w:p w:rsidR="0063174F" w:rsidRPr="00FC3322" w:rsidRDefault="0063174F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1 – в сфере социальной защиты и поддержки,</w:t>
      </w:r>
    </w:p>
    <w:p w:rsidR="0063174F" w:rsidRPr="00FC3322" w:rsidRDefault="009E71EF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1 –</w:t>
      </w:r>
      <w:r w:rsidR="0063174F" w:rsidRPr="00FC3322">
        <w:rPr>
          <w:rFonts w:ascii="Times New Roman" w:hAnsi="Times New Roman" w:cs="Times New Roman"/>
          <w:sz w:val="28"/>
          <w:szCs w:val="28"/>
        </w:rPr>
        <w:t xml:space="preserve"> </w:t>
      </w:r>
      <w:r w:rsidRPr="00FC3322">
        <w:rPr>
          <w:rFonts w:ascii="Times New Roman" w:hAnsi="Times New Roman" w:cs="Times New Roman"/>
          <w:sz w:val="28"/>
          <w:szCs w:val="28"/>
        </w:rPr>
        <w:t>в сфере молодежной политики.</w:t>
      </w:r>
    </w:p>
    <w:p w:rsidR="008D551D" w:rsidRPr="00FC3322" w:rsidRDefault="007C7F6A" w:rsidP="00FC3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1 – дорожно</w:t>
      </w:r>
      <w:r w:rsidR="008D551D" w:rsidRPr="00FC3322">
        <w:rPr>
          <w:rFonts w:ascii="Times New Roman" w:hAnsi="Times New Roman" w:cs="Times New Roman"/>
          <w:sz w:val="28"/>
          <w:szCs w:val="28"/>
        </w:rPr>
        <w:t>го</w:t>
      </w:r>
      <w:r w:rsidRPr="00FC3322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D551D" w:rsidRPr="00FC3322">
        <w:rPr>
          <w:rFonts w:ascii="Times New Roman" w:hAnsi="Times New Roman" w:cs="Times New Roman"/>
          <w:sz w:val="28"/>
          <w:szCs w:val="28"/>
        </w:rPr>
        <w:t>а</w:t>
      </w:r>
      <w:r w:rsidR="00B67653" w:rsidRPr="00FC3322">
        <w:rPr>
          <w:rFonts w:ascii="Times New Roman" w:hAnsi="Times New Roman" w:cs="Times New Roman"/>
          <w:sz w:val="28"/>
          <w:szCs w:val="28"/>
        </w:rPr>
        <w:t>.</w:t>
      </w:r>
    </w:p>
    <w:p w:rsidR="00621BFB" w:rsidRDefault="00621BFB" w:rsidP="00864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Кроме того, 44 государственных и муниципальных спортивных школы реализуют программы спортивной подготовки для детей и молодежи до 21 года.</w:t>
      </w:r>
      <w:r w:rsidR="00864D4B">
        <w:rPr>
          <w:rFonts w:ascii="Times New Roman" w:hAnsi="Times New Roman" w:cs="Times New Roman"/>
          <w:sz w:val="28"/>
          <w:szCs w:val="28"/>
        </w:rPr>
        <w:t xml:space="preserve"> В сфере культуры имеют образовательную лицензию </w:t>
      </w:r>
      <w:r w:rsidR="00864D4B" w:rsidRPr="00864D4B">
        <w:rPr>
          <w:rFonts w:ascii="Times New Roman" w:hAnsi="Times New Roman" w:cs="Times New Roman"/>
          <w:sz w:val="28"/>
          <w:szCs w:val="28"/>
        </w:rPr>
        <w:t>Концертно-зрелищный центр</w:t>
      </w:r>
      <w:r w:rsidR="00864D4B">
        <w:rPr>
          <w:rFonts w:ascii="Times New Roman" w:hAnsi="Times New Roman" w:cs="Times New Roman"/>
          <w:sz w:val="28"/>
          <w:szCs w:val="28"/>
        </w:rPr>
        <w:t xml:space="preserve">, </w:t>
      </w:r>
      <w:r w:rsidR="00864D4B" w:rsidRPr="00864D4B">
        <w:rPr>
          <w:rFonts w:ascii="Times New Roman" w:hAnsi="Times New Roman" w:cs="Times New Roman"/>
          <w:sz w:val="28"/>
          <w:szCs w:val="28"/>
        </w:rPr>
        <w:t>Ярославский городской джазовый центр</w:t>
      </w:r>
      <w:r w:rsidR="00864D4B">
        <w:rPr>
          <w:rFonts w:ascii="Times New Roman" w:hAnsi="Times New Roman" w:cs="Times New Roman"/>
          <w:sz w:val="28"/>
          <w:szCs w:val="28"/>
        </w:rPr>
        <w:t>, д</w:t>
      </w:r>
      <w:r w:rsidR="00864D4B" w:rsidRPr="00864D4B">
        <w:rPr>
          <w:rFonts w:ascii="Times New Roman" w:hAnsi="Times New Roman" w:cs="Times New Roman"/>
          <w:sz w:val="28"/>
          <w:szCs w:val="28"/>
        </w:rPr>
        <w:t>ом</w:t>
      </w:r>
      <w:r w:rsidR="00864D4B">
        <w:rPr>
          <w:rFonts w:ascii="Times New Roman" w:hAnsi="Times New Roman" w:cs="Times New Roman"/>
          <w:sz w:val="28"/>
          <w:szCs w:val="28"/>
        </w:rPr>
        <w:t xml:space="preserve">а и дворцы культуры, </w:t>
      </w:r>
      <w:r w:rsidR="00864D4B" w:rsidRPr="00864D4B">
        <w:rPr>
          <w:rFonts w:ascii="Times New Roman" w:hAnsi="Times New Roman" w:cs="Times New Roman"/>
          <w:sz w:val="28"/>
          <w:szCs w:val="28"/>
        </w:rPr>
        <w:t>Центр культуры и туризма «Романов-Борисоглебск»</w:t>
      </w:r>
      <w:r w:rsidR="00864D4B">
        <w:rPr>
          <w:rFonts w:ascii="Times New Roman" w:hAnsi="Times New Roman" w:cs="Times New Roman"/>
          <w:sz w:val="28"/>
          <w:szCs w:val="28"/>
        </w:rPr>
        <w:t xml:space="preserve">, </w:t>
      </w:r>
      <w:r w:rsidR="00864D4B" w:rsidRPr="00864D4B">
        <w:rPr>
          <w:rFonts w:ascii="Times New Roman" w:hAnsi="Times New Roman" w:cs="Times New Roman"/>
          <w:sz w:val="28"/>
          <w:szCs w:val="28"/>
        </w:rPr>
        <w:t>Центр развития и сохранения культуры Большесельского муниципального района</w:t>
      </w:r>
      <w:r w:rsidR="00864D4B">
        <w:rPr>
          <w:rFonts w:ascii="Times New Roman" w:hAnsi="Times New Roman" w:cs="Times New Roman"/>
          <w:sz w:val="28"/>
          <w:szCs w:val="28"/>
        </w:rPr>
        <w:t xml:space="preserve">, </w:t>
      </w:r>
      <w:r w:rsidR="00864D4B" w:rsidRPr="00864D4B">
        <w:rPr>
          <w:rFonts w:ascii="Times New Roman" w:hAnsi="Times New Roman" w:cs="Times New Roman"/>
          <w:sz w:val="28"/>
          <w:szCs w:val="28"/>
        </w:rPr>
        <w:t>Ярославская государственная филармония</w:t>
      </w:r>
      <w:r w:rsidR="00864D4B">
        <w:rPr>
          <w:rFonts w:ascii="Times New Roman" w:hAnsi="Times New Roman" w:cs="Times New Roman"/>
          <w:sz w:val="28"/>
          <w:szCs w:val="28"/>
        </w:rPr>
        <w:t xml:space="preserve">, </w:t>
      </w:r>
      <w:r w:rsidR="00864D4B" w:rsidRPr="00864D4B">
        <w:rPr>
          <w:rFonts w:ascii="Times New Roman" w:hAnsi="Times New Roman" w:cs="Times New Roman"/>
          <w:sz w:val="28"/>
          <w:szCs w:val="28"/>
        </w:rPr>
        <w:t>Ярославский государственный театр юного зрителя имени В.С.Розова</w:t>
      </w:r>
      <w:r w:rsidR="00864D4B">
        <w:rPr>
          <w:rFonts w:ascii="Times New Roman" w:hAnsi="Times New Roman" w:cs="Times New Roman"/>
          <w:sz w:val="28"/>
          <w:szCs w:val="28"/>
        </w:rPr>
        <w:t>,  а также сеть библиотек.</w:t>
      </w:r>
    </w:p>
    <w:p w:rsidR="00E851F5" w:rsidRPr="00FC3322" w:rsidRDefault="00E851F5" w:rsidP="00864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ED4DCF" wp14:editId="54EA0455">
            <wp:extent cx="5345430" cy="4747260"/>
            <wp:effectExtent l="0" t="0" r="762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C9A" w:rsidRPr="00FC3322" w:rsidRDefault="00B32D97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BE3F19" w:rsidRPr="00FC3322">
        <w:rPr>
          <w:rFonts w:ascii="Times New Roman" w:hAnsi="Times New Roman" w:cs="Times New Roman"/>
          <w:sz w:val="28"/>
          <w:szCs w:val="28"/>
        </w:rPr>
        <w:t xml:space="preserve">из 474 учреждений </w:t>
      </w:r>
      <w:r w:rsidRPr="00FC3322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</w:t>
      </w:r>
      <w:r w:rsidR="00FA4C9A" w:rsidRPr="00FC3322">
        <w:rPr>
          <w:rFonts w:ascii="Times New Roman" w:hAnsi="Times New Roman" w:cs="Times New Roman"/>
          <w:sz w:val="28"/>
          <w:szCs w:val="28"/>
        </w:rPr>
        <w:t>:</w:t>
      </w:r>
    </w:p>
    <w:p w:rsidR="00FA4C9A" w:rsidRPr="00FC3322" w:rsidRDefault="00E5257A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76 организаций дополнительного образования</w:t>
      </w:r>
      <w:r w:rsidR="00B32D97" w:rsidRPr="00FC3322">
        <w:rPr>
          <w:rFonts w:ascii="Times New Roman" w:hAnsi="Times New Roman" w:cs="Times New Roman"/>
          <w:sz w:val="28"/>
          <w:szCs w:val="28"/>
        </w:rPr>
        <w:t>, для которых они являются основными</w:t>
      </w:r>
      <w:r w:rsidR="00FA4C9A" w:rsidRPr="00FC3322">
        <w:rPr>
          <w:rFonts w:ascii="Times New Roman" w:hAnsi="Times New Roman" w:cs="Times New Roman"/>
          <w:sz w:val="28"/>
          <w:szCs w:val="28"/>
        </w:rPr>
        <w:t>;</w:t>
      </w:r>
    </w:p>
    <w:p w:rsidR="009F0816" w:rsidRPr="00FC3322" w:rsidRDefault="009F0816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189 общеобразовательных, в том числе детские дома;</w:t>
      </w:r>
    </w:p>
    <w:p w:rsidR="009F0816" w:rsidRPr="00FC3322" w:rsidRDefault="009F0816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157 организаций дошкольного образования;</w:t>
      </w:r>
    </w:p>
    <w:p w:rsidR="00E5257A" w:rsidRPr="00FC3322" w:rsidRDefault="009F0816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30 организаций профессионального образования</w:t>
      </w:r>
      <w:r w:rsidR="00B32D97" w:rsidRPr="00FC3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BB8" w:rsidRPr="00FC3322" w:rsidRDefault="00E72BB8" w:rsidP="00FC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По данным департамента образования </w:t>
      </w:r>
      <w:r w:rsidR="007E2EF1" w:rsidRPr="00FC3322">
        <w:rPr>
          <w:rFonts w:ascii="Times New Roman" w:hAnsi="Times New Roman" w:cs="Times New Roman"/>
          <w:sz w:val="28"/>
          <w:szCs w:val="28"/>
        </w:rPr>
        <w:t xml:space="preserve">на конец 2017 года </w:t>
      </w:r>
      <w:r w:rsidRPr="00FC332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дополнительного образования  программами охвачено </w:t>
      </w:r>
      <w:r w:rsidRPr="00F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91 006 обучающихся от 5 до 18 лет, что составляет </w:t>
      </w:r>
      <w:r w:rsidR="00BE3F19" w:rsidRPr="00FC3322">
        <w:rPr>
          <w:rFonts w:ascii="Times New Roman" w:eastAsia="Times New Roman" w:hAnsi="Times New Roman" w:cs="Times New Roman"/>
          <w:sz w:val="28"/>
          <w:szCs w:val="28"/>
          <w:lang w:eastAsia="ru-RU"/>
        </w:rPr>
        <w:t>73% от числа детей-школьников</w:t>
      </w:r>
      <w:r w:rsidRPr="00FC3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EF1" w:rsidRPr="00F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30,5 % обучаются по дополнительным образовательным программам на базе школ. </w:t>
      </w:r>
      <w:r w:rsidR="00FA38D7" w:rsidRPr="00F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сферы дополнительного образования мальчики составляют 51,7 %.</w:t>
      </w:r>
    </w:p>
    <w:p w:rsidR="007E2EF1" w:rsidRPr="00FC3322" w:rsidRDefault="007E2EF1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количества объединений разных направленностей в муниципальных и государственных образовательных учреждениях дополнительного образования в целом по области положительная: в 2016 году количество объединений увеличилось на 98 единиц (1,49%) по сравнению с 2015 годом. При этом увеличилось количество объединений технической, спортивно-технической, спортивной и иных направленностей, тогда как количество объединений туристско-краеведческой, художественной и культурологической направленностей уменьшилось. </w:t>
      </w:r>
    </w:p>
    <w:p w:rsidR="007E2EF1" w:rsidRPr="00FC3322" w:rsidRDefault="007E2EF1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области в 2016 году наблюдалась положительная динамика по количеству объединений в муниципальных образовательных учреждениях дополнительного образования в 13 муниципальных районах области. В </w:t>
      </w:r>
      <w:r w:rsidR="00E851F5">
        <w:rPr>
          <w:rFonts w:ascii="Times New Roman" w:hAnsi="Times New Roman" w:cs="Times New Roman"/>
          <w:sz w:val="28"/>
          <w:szCs w:val="28"/>
        </w:rPr>
        <w:t>6 муниципальных образованиях</w:t>
      </w:r>
      <w:r w:rsidRPr="00FC3322">
        <w:rPr>
          <w:rFonts w:ascii="Times New Roman" w:hAnsi="Times New Roman" w:cs="Times New Roman"/>
          <w:sz w:val="28"/>
          <w:szCs w:val="28"/>
        </w:rPr>
        <w:t xml:space="preserve"> области динамика количества объединений в 2016 году отрицательная по сравнению с 2015 годом:</w:t>
      </w:r>
    </w:p>
    <w:tbl>
      <w:tblPr>
        <w:tblStyle w:val="a5"/>
        <w:tblW w:w="9038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"/>
        <w:gridCol w:w="2268"/>
        <w:gridCol w:w="2127"/>
        <w:gridCol w:w="2126"/>
        <w:gridCol w:w="1842"/>
      </w:tblGrid>
      <w:tr w:rsidR="007E2EF1" w:rsidRPr="00455044" w:rsidTr="00455044">
        <w:trPr>
          <w:jc w:val="center"/>
        </w:trPr>
        <w:tc>
          <w:tcPr>
            <w:tcW w:w="643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550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550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00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Муниципальное образование области/</w:t>
            </w:r>
          </w:p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учреждения дополнительного образования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Динамика количества объединений в учреждениях дополнительного образования в 2016 году в абсолютных числах (по сравнению с 2015 годом)</w:t>
            </w:r>
            <w:r w:rsidRPr="0045504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Динамика количества объединений в учреждениях дополнительного образования в 2016 году в процентах (по сравнению с 2015 годом)</w:t>
            </w:r>
            <w:r w:rsidRPr="0045504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Динамика численности обучающихся в объединениях в 2016 году, в процентах (по сравнению с 2015 годом)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tblHeader/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160,95%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5,52%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Переславский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Первомайский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15,49%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-1,85%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15,09%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9,52%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Пошехонский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13,58%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13,33%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Тутаевский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10,26%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4,83%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5044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Мышкинский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8,33%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45,74%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5,45%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13,05%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Некоузский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5,26%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0,95%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26,45%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Даниловский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5,31%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Рыбинский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0,78%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-0,61%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Брейтовский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Угличский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-1,75%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-5,94%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Гаврилов-Ямский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-3,00%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-4,63%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5044">
              <w:rPr>
                <w:sz w:val="24"/>
                <w:szCs w:val="24"/>
              </w:rPr>
              <w:t xml:space="preserve">городской округ </w:t>
            </w:r>
            <w:r w:rsidRPr="00455044">
              <w:rPr>
                <w:sz w:val="24"/>
                <w:szCs w:val="24"/>
              </w:rPr>
              <w:br/>
              <w:t>г. Ярославль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-4,97%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-5,24%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455044">
              <w:rPr>
                <w:rFonts w:ascii="Times New Roman" w:hAnsi="Times New Roman"/>
                <w:sz w:val="24"/>
                <w:szCs w:val="24"/>
              </w:rPr>
              <w:br/>
              <w:t>г. Рыбинск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-10,61%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-13,31%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455044">
              <w:rPr>
                <w:rFonts w:ascii="Times New Roman" w:hAnsi="Times New Roman"/>
                <w:sz w:val="24"/>
                <w:szCs w:val="24"/>
              </w:rPr>
              <w:br/>
              <w:t>г. Переславль-Залесский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-77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-28,31%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-26,4%</w:t>
            </w:r>
          </w:p>
        </w:tc>
      </w:tr>
      <w:tr w:rsidR="007E2EF1" w:rsidRPr="00455044" w:rsidTr="0045504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75" w:type="dxa"/>
            <w:gridSpan w:val="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Любимский МР</w:t>
            </w:r>
          </w:p>
        </w:tc>
        <w:tc>
          <w:tcPr>
            <w:tcW w:w="2127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-29,76%</w:t>
            </w:r>
          </w:p>
        </w:tc>
        <w:tc>
          <w:tcPr>
            <w:tcW w:w="1842" w:type="dxa"/>
          </w:tcPr>
          <w:p w:rsidR="007E2EF1" w:rsidRPr="00455044" w:rsidRDefault="007E2EF1" w:rsidP="00455044">
            <w:pPr>
              <w:rPr>
                <w:rFonts w:ascii="Times New Roman" w:hAnsi="Times New Roman"/>
                <w:sz w:val="24"/>
                <w:szCs w:val="24"/>
              </w:rPr>
            </w:pPr>
            <w:r w:rsidRPr="00455044">
              <w:rPr>
                <w:rFonts w:ascii="Times New Roman" w:hAnsi="Times New Roman"/>
                <w:sz w:val="24"/>
                <w:szCs w:val="24"/>
              </w:rPr>
              <w:t>8,85%</w:t>
            </w:r>
          </w:p>
        </w:tc>
      </w:tr>
    </w:tbl>
    <w:p w:rsidR="007E2EF1" w:rsidRPr="00FC3322" w:rsidRDefault="007E2EF1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EC" w:rsidRPr="00FC3322" w:rsidRDefault="000471EC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 xml:space="preserve">По данным  департамента культуры  в системе  работает 35 организаций дополнительного образования вида «школа», реализующие программы дополнительного образования для детей, в том числе предпрофессиональные.  В 1002 объединениях </w:t>
      </w:r>
      <w:r w:rsidR="00455044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  <w:r w:rsidRPr="00FC3322">
        <w:rPr>
          <w:rFonts w:ascii="Times New Roman" w:hAnsi="Times New Roman" w:cs="Times New Roman"/>
          <w:sz w:val="28"/>
          <w:szCs w:val="28"/>
        </w:rPr>
        <w:t>обучается 13560 детей</w:t>
      </w:r>
      <w:r w:rsidR="0092085F" w:rsidRPr="00FC3322">
        <w:rPr>
          <w:rFonts w:ascii="Times New Roman" w:hAnsi="Times New Roman" w:cs="Times New Roman"/>
          <w:sz w:val="28"/>
          <w:szCs w:val="28"/>
        </w:rPr>
        <w:t xml:space="preserve">, </w:t>
      </w:r>
      <w:r w:rsidR="00FA38D7" w:rsidRPr="00FC3322">
        <w:rPr>
          <w:rFonts w:ascii="Times New Roman" w:hAnsi="Times New Roman" w:cs="Times New Roman"/>
          <w:sz w:val="28"/>
          <w:szCs w:val="28"/>
        </w:rPr>
        <w:t>из них 75,3 % - девочки</w:t>
      </w:r>
      <w:r w:rsidRPr="00FC3322">
        <w:rPr>
          <w:rFonts w:ascii="Times New Roman" w:hAnsi="Times New Roman" w:cs="Times New Roman"/>
          <w:sz w:val="28"/>
          <w:szCs w:val="28"/>
        </w:rPr>
        <w:t>.</w:t>
      </w:r>
      <w:r w:rsidR="0092085F" w:rsidRPr="00FC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5F" w:rsidRPr="00FC3322" w:rsidRDefault="0092085F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DD" w:rsidRDefault="006E2561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hAnsi="Times New Roman" w:cs="Times New Roman"/>
          <w:sz w:val="28"/>
          <w:szCs w:val="28"/>
        </w:rPr>
        <w:t>Анализ нег</w:t>
      </w:r>
      <w:r w:rsidR="003765DD" w:rsidRPr="00FC3322">
        <w:rPr>
          <w:rFonts w:ascii="Times New Roman" w:hAnsi="Times New Roman" w:cs="Times New Roman"/>
          <w:sz w:val="28"/>
          <w:szCs w:val="28"/>
        </w:rPr>
        <w:t>осударственных и некоммерческих</w:t>
      </w:r>
      <w:r w:rsidRPr="00FC3322">
        <w:rPr>
          <w:rFonts w:ascii="Times New Roman" w:hAnsi="Times New Roman" w:cs="Times New Roman"/>
          <w:sz w:val="28"/>
          <w:szCs w:val="28"/>
        </w:rPr>
        <w:t xml:space="preserve">, общественных организаций показал широкий спектр видов деятельности, по которым может </w:t>
      </w:r>
      <w:r w:rsidR="003765DD" w:rsidRPr="00FC3322">
        <w:rPr>
          <w:rFonts w:ascii="Times New Roman" w:hAnsi="Times New Roman" w:cs="Times New Roman"/>
          <w:sz w:val="28"/>
          <w:szCs w:val="28"/>
        </w:rPr>
        <w:t>вестись дополнительное образование детей и взрослых: исследования и проекты в социальной сфере, информационные технологии, культурология, бизнес, медицина, психологическое консультирование, производство и мониторинг качества пищевых продуктов, религия, социальная защита, лингвистика, строительство, безопасность, автомобильный, морской и речной транспорт, отдых, судостроение, приборостроение, газовая промышленность, сельское хозяйство, авиаспорт, экология.</w:t>
      </w:r>
    </w:p>
    <w:p w:rsidR="00455044" w:rsidRPr="00E851F5" w:rsidRDefault="00455044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F5">
        <w:rPr>
          <w:rFonts w:ascii="Times New Roman" w:hAnsi="Times New Roman" w:cs="Times New Roman"/>
          <w:b/>
          <w:sz w:val="28"/>
          <w:szCs w:val="28"/>
        </w:rPr>
        <w:t>Анализ сведений по сферам и видам дея</w:t>
      </w:r>
      <w:r w:rsidR="00537BEF" w:rsidRPr="00E851F5">
        <w:rPr>
          <w:rFonts w:ascii="Times New Roman" w:hAnsi="Times New Roman" w:cs="Times New Roman"/>
          <w:b/>
          <w:sz w:val="28"/>
          <w:szCs w:val="28"/>
        </w:rPr>
        <w:t xml:space="preserve">тельности показывает, что доля образовательных организаций, реализующих дополнительные общеобразовательные программы детей, составляет основную часть </w:t>
      </w:r>
      <w:r w:rsidR="00537BEF" w:rsidRPr="00E851F5">
        <w:rPr>
          <w:rFonts w:ascii="Times New Roman" w:hAnsi="Times New Roman" w:cs="Times New Roman"/>
          <w:b/>
          <w:sz w:val="28"/>
          <w:szCs w:val="28"/>
        </w:rPr>
        <w:lastRenderedPageBreak/>
        <w:t>сферы организаций дополнительного образования. Вместе с тем заметен рост количества организаций негосударственного сектора, заинтересованных в реализации программ для детей, а также организаций необразовательной сферы. Сфера культуры является стабильной системой освоения как общеразвивающих, так предпрофессиональных программ для продолжения образования в сфере художественного творчества, а также бизнеса, связанного с художественной деятельностью.</w:t>
      </w:r>
    </w:p>
    <w:p w:rsidR="00537BEF" w:rsidRDefault="00537BEF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F5">
        <w:rPr>
          <w:rFonts w:ascii="Times New Roman" w:hAnsi="Times New Roman" w:cs="Times New Roman"/>
          <w:b/>
          <w:sz w:val="28"/>
          <w:szCs w:val="28"/>
        </w:rPr>
        <w:t>Иные виды дополнительного образования, кроме художественного, обеспечивает в основном система образования. Недостаточно, на наш взгляд, развивается дополнительное образование в профессиональном и высшем образовании.</w:t>
      </w:r>
      <w:r w:rsidR="00174B16" w:rsidRPr="00E851F5">
        <w:rPr>
          <w:rFonts w:ascii="Times New Roman" w:hAnsi="Times New Roman" w:cs="Times New Roman"/>
          <w:b/>
          <w:sz w:val="28"/>
          <w:szCs w:val="28"/>
        </w:rPr>
        <w:t xml:space="preserve"> Причиной такого положения можно назвать проблему кадрового обеспечения.</w:t>
      </w:r>
    </w:p>
    <w:p w:rsidR="00683E6B" w:rsidRPr="00E851F5" w:rsidRDefault="00683E6B" w:rsidP="00FC33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F1" w:rsidRPr="00FC3322" w:rsidRDefault="00174B16" w:rsidP="00FC3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Кадровое обеспечение сферы дополнительного образования.</w:t>
      </w:r>
    </w:p>
    <w:p w:rsidR="00BE3F19" w:rsidRDefault="0001219F" w:rsidP="00C00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20.02.2018 в системе дополнительного образования работает 2100 педагогических работников, из них в системе образования 1296, в системе культуры 804.</w:t>
      </w:r>
    </w:p>
    <w:p w:rsidR="00C009ED" w:rsidRDefault="00C009ED" w:rsidP="00961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педагогических должностей различаются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57,2%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п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едагоги-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(11,3 %)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оциальные 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(0,2</w:t>
      </w:r>
      <w:r w:rsidR="00DE2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ренеры-преподаватели 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(16,9 %)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етодисты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(7,8</w:t>
      </w:r>
      <w:r w:rsidR="00DE2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</w:t>
      </w:r>
      <w:r w:rsidRPr="00C00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ругие педагогические работники </w:t>
      </w:r>
      <w:r w:rsidR="009615EA">
        <w:rPr>
          <w:rFonts w:ascii="Times New Roman" w:eastAsia="Times New Roman" w:hAnsi="Times New Roman" w:cs="Times New Roman"/>
          <w:sz w:val="28"/>
          <w:szCs w:val="24"/>
          <w:lang w:eastAsia="ru-RU"/>
        </w:rPr>
        <w:t>(6,6 %)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5109" w:rsidRDefault="00895109" w:rsidP="00961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обладают высокой квалификацией: высшей категории -  26,3%, первой 36,3 %, второй категории – 0%. Без категории </w:t>
      </w:r>
      <w:r w:rsidR="00BB2A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7F">
        <w:rPr>
          <w:rFonts w:ascii="Times New Roman" w:eastAsia="Times New Roman" w:hAnsi="Times New Roman" w:cs="Times New Roman"/>
          <w:sz w:val="28"/>
          <w:szCs w:val="28"/>
          <w:lang w:eastAsia="ru-RU"/>
        </w:rPr>
        <w:t>38,3 %.</w:t>
      </w:r>
    </w:p>
    <w:p w:rsidR="0027102C" w:rsidRPr="0027102C" w:rsidRDefault="0027102C" w:rsidP="00961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r w:rsidR="007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7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20 лет. </w:t>
      </w:r>
    </w:p>
    <w:p w:rsidR="0001219F" w:rsidRDefault="0001219F" w:rsidP="00FC33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7F" w:rsidRPr="00FC3322" w:rsidRDefault="00986175" w:rsidP="00FC33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0E03EE" wp14:editId="5C62488F">
            <wp:extent cx="4678680" cy="2743200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18E" w:rsidRPr="00FC3322" w:rsidRDefault="0087018E" w:rsidP="00FC33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3508B" w:rsidRDefault="00683E6B" w:rsidP="0068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восполнение кадровых ресурсов сферы дополнительного образования недостаточное. Причинами этому могут служить необходимость иметь кроме специального педагогическое образование, низкий уровень зарплаты по сравнению с большинством отраслей, высокие требования к должности.</w:t>
      </w:r>
    </w:p>
    <w:p w:rsidR="004B22F7" w:rsidRDefault="004B22F7" w:rsidP="0068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F7" w:rsidRPr="00FC3322" w:rsidRDefault="004B22F7" w:rsidP="0068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старший методист РМЦ ДОД ЯО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Н.А.Гусева</w:t>
      </w:r>
    </w:p>
    <w:sectPr w:rsidR="004B22F7" w:rsidRPr="00F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6F" w:rsidRDefault="006A6E6F" w:rsidP="007E2EF1">
      <w:pPr>
        <w:spacing w:after="0" w:line="240" w:lineRule="auto"/>
      </w:pPr>
      <w:r>
        <w:separator/>
      </w:r>
    </w:p>
  </w:endnote>
  <w:endnote w:type="continuationSeparator" w:id="0">
    <w:p w:rsidR="006A6E6F" w:rsidRDefault="006A6E6F" w:rsidP="007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6F" w:rsidRDefault="006A6E6F" w:rsidP="007E2EF1">
      <w:pPr>
        <w:spacing w:after="0" w:line="240" w:lineRule="auto"/>
      </w:pPr>
      <w:r>
        <w:separator/>
      </w:r>
    </w:p>
  </w:footnote>
  <w:footnote w:type="continuationSeparator" w:id="0">
    <w:p w:rsidR="006A6E6F" w:rsidRDefault="006A6E6F" w:rsidP="007E2EF1">
      <w:pPr>
        <w:spacing w:after="0" w:line="240" w:lineRule="auto"/>
      </w:pPr>
      <w:r>
        <w:continuationSeparator/>
      </w:r>
    </w:p>
  </w:footnote>
  <w:footnote w:id="1">
    <w:p w:rsidR="007E2EF1" w:rsidRPr="00535C2C" w:rsidRDefault="007E2EF1" w:rsidP="007E2EF1">
      <w:pPr>
        <w:pStyle w:val="a6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535C2C">
        <w:rPr>
          <w:sz w:val="18"/>
        </w:rPr>
        <w:t>Указано количество объединений, на которое</w:t>
      </w:r>
      <w:r>
        <w:rPr>
          <w:sz w:val="18"/>
        </w:rPr>
        <w:t xml:space="preserve"> в 2016 году</w:t>
      </w:r>
      <w:r w:rsidRPr="00535C2C">
        <w:rPr>
          <w:sz w:val="18"/>
        </w:rPr>
        <w:t xml:space="preserve"> увеличилось (уменьшилось) общее количество объединений во всех муниципальных образовательных учреждениях дополнительного образования каждого муниципального образования области </w:t>
      </w:r>
      <w:r>
        <w:rPr>
          <w:sz w:val="18"/>
        </w:rPr>
        <w:t>по сравнению с 2015 годом</w:t>
      </w:r>
    </w:p>
  </w:footnote>
  <w:footnote w:id="2">
    <w:p w:rsidR="007E2EF1" w:rsidRDefault="007E2EF1" w:rsidP="007E2EF1">
      <w:pPr>
        <w:pStyle w:val="a6"/>
        <w:jc w:val="both"/>
      </w:pPr>
      <w:r w:rsidRPr="00535C2C">
        <w:rPr>
          <w:rStyle w:val="a8"/>
          <w:sz w:val="18"/>
        </w:rPr>
        <w:footnoteRef/>
      </w:r>
      <w:r w:rsidRPr="00535C2C">
        <w:rPr>
          <w:sz w:val="18"/>
        </w:rPr>
        <w:t xml:space="preserve"> Указан процент, на который </w:t>
      </w:r>
      <w:r>
        <w:rPr>
          <w:sz w:val="18"/>
        </w:rPr>
        <w:t xml:space="preserve">в 2016 году </w:t>
      </w:r>
      <w:r w:rsidRPr="00535C2C">
        <w:rPr>
          <w:sz w:val="18"/>
        </w:rPr>
        <w:t xml:space="preserve">увеличилось (уменьшилось) общее количество объединений во всех муниципальных образовательных учреждениях дополнительного образования каждого муниципального образования области </w:t>
      </w:r>
      <w:r>
        <w:rPr>
          <w:sz w:val="18"/>
        </w:rPr>
        <w:t>по сравнению с 2015 годом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03277"/>
    <w:multiLevelType w:val="hybridMultilevel"/>
    <w:tmpl w:val="732E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7"/>
    <w:rsid w:val="0001219F"/>
    <w:rsid w:val="00031B53"/>
    <w:rsid w:val="000471EC"/>
    <w:rsid w:val="000F7F11"/>
    <w:rsid w:val="0011145C"/>
    <w:rsid w:val="00134BDB"/>
    <w:rsid w:val="0013786B"/>
    <w:rsid w:val="00174B16"/>
    <w:rsid w:val="001847DA"/>
    <w:rsid w:val="00192007"/>
    <w:rsid w:val="001F5DA0"/>
    <w:rsid w:val="0020235D"/>
    <w:rsid w:val="0027102C"/>
    <w:rsid w:val="002C1AFE"/>
    <w:rsid w:val="0032406F"/>
    <w:rsid w:val="0033298D"/>
    <w:rsid w:val="003765DD"/>
    <w:rsid w:val="00395C3A"/>
    <w:rsid w:val="003B1FA3"/>
    <w:rsid w:val="004130BD"/>
    <w:rsid w:val="0042281D"/>
    <w:rsid w:val="00455044"/>
    <w:rsid w:val="00467E38"/>
    <w:rsid w:val="00486E65"/>
    <w:rsid w:val="004B22F7"/>
    <w:rsid w:val="004D2E5E"/>
    <w:rsid w:val="004D60AC"/>
    <w:rsid w:val="00537BEF"/>
    <w:rsid w:val="00551A7D"/>
    <w:rsid w:val="005C09AF"/>
    <w:rsid w:val="005C6FC9"/>
    <w:rsid w:val="005F6941"/>
    <w:rsid w:val="00621BFB"/>
    <w:rsid w:val="0063174F"/>
    <w:rsid w:val="00650F53"/>
    <w:rsid w:val="00683E6B"/>
    <w:rsid w:val="00685294"/>
    <w:rsid w:val="006A6E6F"/>
    <w:rsid w:val="006E2561"/>
    <w:rsid w:val="00714E47"/>
    <w:rsid w:val="00722E7B"/>
    <w:rsid w:val="00746138"/>
    <w:rsid w:val="00750BE8"/>
    <w:rsid w:val="00763471"/>
    <w:rsid w:val="007C7F6A"/>
    <w:rsid w:val="007D15A4"/>
    <w:rsid w:val="007D3CC6"/>
    <w:rsid w:val="007E0D3E"/>
    <w:rsid w:val="007E2EF1"/>
    <w:rsid w:val="007F5418"/>
    <w:rsid w:val="00827158"/>
    <w:rsid w:val="00842F1E"/>
    <w:rsid w:val="00864D4B"/>
    <w:rsid w:val="00866799"/>
    <w:rsid w:val="0087018E"/>
    <w:rsid w:val="00895109"/>
    <w:rsid w:val="008D551D"/>
    <w:rsid w:val="008F70D7"/>
    <w:rsid w:val="00914BFB"/>
    <w:rsid w:val="0092085F"/>
    <w:rsid w:val="0093508B"/>
    <w:rsid w:val="00940A24"/>
    <w:rsid w:val="009615EA"/>
    <w:rsid w:val="00965D1E"/>
    <w:rsid w:val="00986175"/>
    <w:rsid w:val="009E00F0"/>
    <w:rsid w:val="009E71EF"/>
    <w:rsid w:val="009F0816"/>
    <w:rsid w:val="00A304F5"/>
    <w:rsid w:val="00A55D26"/>
    <w:rsid w:val="00A95D5D"/>
    <w:rsid w:val="00AD6519"/>
    <w:rsid w:val="00AE3CF0"/>
    <w:rsid w:val="00B10026"/>
    <w:rsid w:val="00B32D97"/>
    <w:rsid w:val="00B67653"/>
    <w:rsid w:val="00BB2A7F"/>
    <w:rsid w:val="00BE3F19"/>
    <w:rsid w:val="00BE6205"/>
    <w:rsid w:val="00BE7372"/>
    <w:rsid w:val="00BF6BDF"/>
    <w:rsid w:val="00C009ED"/>
    <w:rsid w:val="00C175D8"/>
    <w:rsid w:val="00C437F0"/>
    <w:rsid w:val="00C832C1"/>
    <w:rsid w:val="00CB0018"/>
    <w:rsid w:val="00CB5E7F"/>
    <w:rsid w:val="00CD5390"/>
    <w:rsid w:val="00CF0BC6"/>
    <w:rsid w:val="00D41EA0"/>
    <w:rsid w:val="00D91097"/>
    <w:rsid w:val="00DE200C"/>
    <w:rsid w:val="00E22589"/>
    <w:rsid w:val="00E5257A"/>
    <w:rsid w:val="00E72BB8"/>
    <w:rsid w:val="00E851F5"/>
    <w:rsid w:val="00EA4CFE"/>
    <w:rsid w:val="00F2611B"/>
    <w:rsid w:val="00F27473"/>
    <w:rsid w:val="00F369FA"/>
    <w:rsid w:val="00F414A1"/>
    <w:rsid w:val="00F674C0"/>
    <w:rsid w:val="00F940D5"/>
    <w:rsid w:val="00FA2777"/>
    <w:rsid w:val="00FA38D7"/>
    <w:rsid w:val="00FA4C16"/>
    <w:rsid w:val="00FA4C9A"/>
    <w:rsid w:val="00FC3322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B819-8658-4A1C-8552-59F0983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F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2E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E2EF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7E2E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E2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E2EF1"/>
    <w:rPr>
      <w:vertAlign w:val="superscript"/>
    </w:rPr>
  </w:style>
  <w:style w:type="paragraph" w:styleId="a9">
    <w:name w:val="List Paragraph"/>
    <w:basedOn w:val="a"/>
    <w:uiPriority w:val="34"/>
    <w:qFormat/>
    <w:rsid w:val="00A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eva\Documents\&#1048;&#1056;&#1054;\&#1056;&#1052;&#1062;\&#1040;&#1085;&#1072;&#1083;&#1080;&#1079;%20&#1089;&#1086;&#1089;&#1090;&#1086;&#1103;&#1085;&#1080;&#1103;%20&#1089;&#1092;&#1077;&#1088;&#1099;%20&#1044;&#1054;&#1044;%20&#1074;%20&#1071;&#1054;\&#1056;&#1077;&#1077;&#1089;&#1090;&#1088;%20&#1083;&#1080;&#1094;&#1077;&#1085;&#1079;&#1080;&#1072;&#1090;&#1086;&#1074;%20&#1087;&#1086;%20&#1044;&#1054;%20&#1074;%20&#1071;&#10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eva\Documents\&#1048;&#1056;&#1054;\&#1056;&#1052;&#1062;\&#1040;&#1085;&#1072;&#1083;&#1080;&#1079;%20&#1089;&#1086;&#1089;&#1090;&#1086;&#1103;&#1085;&#1080;&#1103;%20&#1089;&#1092;&#1077;&#1088;&#1099;%20&#1044;&#1054;&#1044;%20&#1074;%20&#1071;&#1054;\&#1076;&#1072;&#1085;&#1085;&#1099;&#1077;%20&#1076;&#1083;&#1103;%20&#1072;&#1085;&#1072;&#1083;&#1080;&#1079;&#1072;%20&#1089;&#1086;&#1089;&#1090;&#1086;&#1103;&#1085;&#1080;&#1103;%20&#1089;&#1080;&#1089;&#1090;&#1077;&#1084;&#1099;%20&#1044;&#1054;&#1044;%20&#1071;&#1054;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eva\Documents\&#1048;&#1056;&#1054;\&#1056;&#1052;&#1062;\&#1040;&#1085;&#1072;&#1083;&#1080;&#1079;%20&#1089;&#1086;&#1089;&#1090;&#1086;&#1103;&#1085;&#1080;&#1103;%20&#1089;&#1092;&#1077;&#1088;&#1099;%20&#1044;&#1054;&#1044;%20&#1074;%20&#1071;&#1054;\&#1076;&#1072;&#1085;&#1085;&#1099;&#1077;%20&#1076;&#1083;&#1103;%20&#1072;&#1085;&#1072;&#1083;&#1080;&#1079;&#1072;%20&#1089;&#1086;&#1089;&#1090;&#1086;&#1103;&#1085;&#1080;&#1103;%20&#1089;&#1080;&#1089;&#1090;&#1077;&#1084;&#1099;%20&#1044;&#1054;&#1044;%20&#1071;&#1054;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eva\Documents\&#1048;&#1056;&#1054;\&#1056;&#1052;&#1062;\&#1040;&#1085;&#1072;&#1083;&#1080;&#1079;%20&#1089;&#1086;&#1089;&#1090;&#1086;&#1103;&#1085;&#1080;&#1103;%20&#1089;&#1092;&#1077;&#1088;&#1099;%20&#1044;&#1054;&#1044;%20&#1074;%20&#1071;&#1054;\&#1076;&#1072;&#1085;&#1085;&#1099;&#1077;%20&#1076;&#1083;&#1103;%20&#1072;&#1085;&#1072;&#1083;&#1080;&#1079;&#1072;%20&#1089;&#1086;&#1089;&#1090;&#1086;&#1103;&#1085;&#1080;&#1103;%20&#1089;&#1080;&#1089;&#1090;&#1077;&#1084;&#1099;%20&#1044;&#1054;&#1044;%20&#1071;&#1054;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Распределение </a:t>
            </a:r>
            <a:r>
              <a:rPr lang="ru-RU" sz="1050" baseline="0"/>
              <a:t>о</a:t>
            </a:r>
            <a:r>
              <a:rPr lang="ru-RU" sz="1050"/>
              <a:t>рганизаций, </a:t>
            </a:r>
            <a:r>
              <a:rPr lang="ru-RU" sz="1050" baseline="0"/>
              <a:t>реализующих программы дополнительного образования, по формам собственности</a:t>
            </a:r>
            <a:endParaRPr lang="ru-RU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Диаграммы!$A$2</c:f>
              <c:strCache>
                <c:ptCount val="1"/>
                <c:pt idx="0">
                  <c:v>Государственные и муниципальные учреждения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88495188101488E-2"/>
                  <c:y val="1.27278361038203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Диаграммы!$A$2:$A$9</c15:sqref>
                  </c15:fullRef>
                </c:ext>
              </c:extLst>
              <c:f>(Диаграммы!$A$2,Диаграммы!$A$8:$A$9)</c:f>
              <c:strCache>
                <c:ptCount val="3"/>
                <c:pt idx="0">
                  <c:v>Государственные и муниципальные учреждения</c:v>
                </c:pt>
                <c:pt idx="1">
                  <c:v>Негосударственные</c:v>
                </c:pt>
                <c:pt idx="2">
                  <c:v>Некоммерческие, общественные организации 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Диаграммы!$B$2:$B$9</c15:sqref>
                  </c15:fullRef>
                </c:ext>
              </c:extLst>
              <c:f>(Диаграммы!$B$2,Диаграммы!$B$8:$B$9)</c:f>
              <c:numCache>
                <c:formatCode>General</c:formatCode>
                <c:ptCount val="3"/>
                <c:pt idx="0" formatCode="0.0">
                  <c:v>82.424242424242422</c:v>
                </c:pt>
                <c:pt idx="1" formatCode="0.00">
                  <c:v>14.848484848484848</c:v>
                </c:pt>
                <c:pt idx="2" formatCode="0.00">
                  <c:v>2.7272727272727271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ser>
          <c:idx val="1"/>
          <c:order val="1"/>
          <c:tx>
            <c:strRef>
              <c:f>Диаграммы!$A$8</c:f>
              <c:strCache>
                <c:ptCount val="1"/>
                <c:pt idx="0">
                  <c:v>Негосударственные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Государственные и муниципальные учреждения</c:v>
              </c:pt>
              <c:pt idx="6">
                <c:v>Негосударственные</c:v>
              </c:pt>
              <c:pt idx="7">
                <c:v>Некоммерческие, общественные организации 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Диаграммы!$B$8</c15:sqref>
                  </c15:fullRef>
                </c:ext>
              </c:extLst>
              <c:f>Диаграммы!$B$8</c:f>
              <c:numCache>
                <c:formatCode>0.00</c:formatCode>
                <c:ptCount val="1"/>
                <c:pt idx="0">
                  <c:v>14.848484848484848</c:v>
                </c:pt>
              </c:numCache>
            </c:numRef>
          </c:val>
        </c:ser>
        <c:ser>
          <c:idx val="2"/>
          <c:order val="2"/>
          <c:tx>
            <c:strRef>
              <c:f>Диаграммы!$A$9</c:f>
              <c:strCache>
                <c:ptCount val="1"/>
                <c:pt idx="0">
                  <c:v>Некоммерческие, общественные организации 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Государственные и муниципальные учреждения</c:v>
              </c:pt>
              <c:pt idx="6">
                <c:v>Негосударственные</c:v>
              </c:pt>
              <c:pt idx="7">
                <c:v>Некоммерческие, общественные организации 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Диаграммы!$B$9</c15:sqref>
                  </c15:fullRef>
                </c:ext>
              </c:extLst>
              <c:f>Диаграммы!$B$9</c:f>
              <c:numCache>
                <c:formatCode>0.00</c:formatCode>
                <c:ptCount val="1"/>
                <c:pt idx="0">
                  <c:v>2.7272727272727271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Организации, имеющие лицензию на реализацию дополинтельных общеобразовательных программ для детей и взрослых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6666666666666566E-2"/>
                  <c:y val="2.0833333333333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5555555555555"/>
                      <c:h val="0.1666666666666666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диаграммы!$A$1:$A$2</c:f>
              <c:strCache>
                <c:ptCount val="2"/>
                <c:pt idx="0">
                  <c:v>необразовательные </c:v>
                </c:pt>
                <c:pt idx="1">
                  <c:v>образовательные</c:v>
                </c:pt>
              </c:strCache>
            </c:strRef>
          </c:cat>
          <c:val>
            <c:numRef>
              <c:f>диаграммы!$B$1:$B$2</c:f>
              <c:numCache>
                <c:formatCode>General</c:formatCode>
                <c:ptCount val="2"/>
                <c:pt idx="0">
                  <c:v>66</c:v>
                </c:pt>
                <c:pt idx="1">
                  <c:v>594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диаграммы!$A$1:$A$2</c:f>
              <c:strCache>
                <c:ptCount val="2"/>
                <c:pt idx="0">
                  <c:v>необразовательные </c:v>
                </c:pt>
                <c:pt idx="1">
                  <c:v>образовательные</c:v>
                </c:pt>
              </c:strCache>
            </c:strRef>
          </c:cat>
          <c:val>
            <c:numRef>
              <c:f>диаграммы!$C$1:$C$2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диаграммы!$A$1:$A$2</c:f>
              <c:strCache>
                <c:ptCount val="2"/>
                <c:pt idx="0">
                  <c:v>необразовательные </c:v>
                </c:pt>
                <c:pt idx="1">
                  <c:v>образовательные</c:v>
                </c:pt>
              </c:strCache>
            </c:strRef>
          </c:cat>
          <c:val>
            <c:numRef>
              <c:f>диаграммы!$D$1:$D$2</c:f>
              <c:numCache>
                <c:formatCode>General</c:formatCode>
                <c:ptCount val="2"/>
                <c:pt idx="1">
                  <c:v>58</c:v>
                </c:pt>
              </c:numCache>
            </c:numRef>
          </c:val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диаграммы!$A$1:$A$2</c:f>
              <c:strCache>
                <c:ptCount val="2"/>
                <c:pt idx="0">
                  <c:v>необразовательные </c:v>
                </c:pt>
                <c:pt idx="1">
                  <c:v>образовательные</c:v>
                </c:pt>
              </c:strCache>
            </c:strRef>
          </c:cat>
          <c:val>
            <c:numRef>
              <c:f>диаграммы!$E$1:$E$2</c:f>
              <c:numCache>
                <c:formatCode>General</c:formatCode>
                <c:ptCount val="2"/>
                <c:pt idx="1">
                  <c:v>157</c:v>
                </c:pt>
              </c:numCache>
            </c:numRef>
          </c:val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диаграммы!$A$1:$A$2</c:f>
              <c:strCache>
                <c:ptCount val="2"/>
                <c:pt idx="0">
                  <c:v>необразовательные </c:v>
                </c:pt>
                <c:pt idx="1">
                  <c:v>образовательные</c:v>
                </c:pt>
              </c:strCache>
            </c:strRef>
          </c:cat>
          <c:val>
            <c:numRef>
              <c:f>диаграммы!$F$1:$F$2</c:f>
              <c:numCache>
                <c:formatCode>General</c:formatCode>
                <c:ptCount val="2"/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Сферы деятельности</a:t>
            </a:r>
            <a:r>
              <a:rPr lang="ru-RU" sz="1400" baseline="0"/>
              <a:t> организаций, реализующих ДОП для детей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диаграммы!$A$23:$A$33</c:f>
              <c:strCache>
                <c:ptCount val="11"/>
                <c:pt idx="0">
                  <c:v>образование</c:v>
                </c:pt>
                <c:pt idx="1">
                  <c:v>культура</c:v>
                </c:pt>
                <c:pt idx="2">
                  <c:v>негосударственные</c:v>
                </c:pt>
                <c:pt idx="3">
                  <c:v>некоммерческие, общественные организации </c:v>
                </c:pt>
                <c:pt idx="4">
                  <c:v>спорт и физкультура</c:v>
                </c:pt>
                <c:pt idx="5">
                  <c:v>здравоохранение</c:v>
                </c:pt>
                <c:pt idx="6">
                  <c:v>гражданская оборона и пожарная безопасность</c:v>
                </c:pt>
                <c:pt idx="7">
                  <c:v>в сфере агропромышленного комплекса,</c:v>
                </c:pt>
                <c:pt idx="8">
                  <c:v>в сфере социальной защиты и поддержки,</c:v>
                </c:pt>
                <c:pt idx="9">
                  <c:v>молодежная политика</c:v>
                </c:pt>
                <c:pt idx="10">
                  <c:v>дорожного хозяйства</c:v>
                </c:pt>
              </c:strCache>
            </c:strRef>
          </c:cat>
          <c:val>
            <c:numRef>
              <c:f>диаграммы!$B$23:$B$33</c:f>
              <c:numCache>
                <c:formatCode>General</c:formatCode>
                <c:ptCount val="11"/>
                <c:pt idx="0">
                  <c:v>474</c:v>
                </c:pt>
                <c:pt idx="1">
                  <c:v>39</c:v>
                </c:pt>
                <c:pt idx="2">
                  <c:v>63</c:v>
                </c:pt>
                <c:pt idx="3">
                  <c:v>6</c:v>
                </c:pt>
                <c:pt idx="4">
                  <c:v>50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педагогических работников сферы дополнительного образования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диаграммы!$M$12:$Q$12</c:f>
              <c:strCache>
                <c:ptCount val="5"/>
                <c:pt idx="0">
                  <c:v>стаж менее 2 лет</c:v>
                </c:pt>
                <c:pt idx="1">
                  <c:v>стаж от 2-5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и более лет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диаграммы!$M$12:$Q$12</c:f>
              <c:strCache>
                <c:ptCount val="5"/>
                <c:pt idx="0">
                  <c:v>стаж менее 2 лет</c:v>
                </c:pt>
                <c:pt idx="1">
                  <c:v>стаж от 2-5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и более лет</c:v>
                </c:pt>
              </c:strCache>
            </c:strRef>
          </c:cat>
          <c:val>
            <c:numRef>
              <c:f>диаграммы!$M$10:$Q$10</c:f>
              <c:numCache>
                <c:formatCode>0.0</c:formatCode>
                <c:ptCount val="5"/>
                <c:pt idx="0">
                  <c:v>5.7870370370370372</c:v>
                </c:pt>
                <c:pt idx="1">
                  <c:v>10.030864197530864</c:v>
                </c:pt>
                <c:pt idx="2">
                  <c:v>11.651234567901234</c:v>
                </c:pt>
                <c:pt idx="3">
                  <c:v>22.376543209876544</c:v>
                </c:pt>
                <c:pt idx="4">
                  <c:v>50.154320987654323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662721109372726"/>
          <c:y val="0.32130650335374744"/>
          <c:w val="0.22379624167500234"/>
          <c:h val="0.575812919218431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rtl="0"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56</cp:revision>
  <dcterms:created xsi:type="dcterms:W3CDTF">2018-05-04T09:01:00Z</dcterms:created>
  <dcterms:modified xsi:type="dcterms:W3CDTF">2018-06-29T06:37:00Z</dcterms:modified>
</cp:coreProperties>
</file>